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160" w:before="0" w:line="276" w:lineRule="auto"/>
        <w:jc w:val="left"/>
        <w:rPr/>
      </w:pPr>
      <w:bookmarkStart w:colFirst="0" w:colLast="0" w:name="_y7v8d8eajusw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4.4 - Licitaciones Anuladas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En el 2022, no hubo licitaciones anuladas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Para acceder a los contratos adjudicados y licitaciones anuladas puede entrar en la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Plataforma de Contratación</w:t>
        </w:r>
      </w:hyperlink>
      <w:r w:rsidDel="00000000" w:rsidR="00000000" w:rsidRPr="00000000">
        <w:rPr>
          <w:rtl w:val="0"/>
        </w:rPr>
        <w:t xml:space="preserve"> y documentos donde está disponible.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.0000000000002" w:top="1440.0000000000002" w:left="1440.0000000000002" w:right="1440.0000000000002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pageBreakBefore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jc w:val="lef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pageBreakBefore w:val="0"/>
      <w:spacing w:line="240" w:lineRule="auto"/>
      <w:jc w:val="right"/>
      <w:rPr>
        <w:sz w:val="18"/>
        <w:szCs w:val="18"/>
      </w:rPr>
    </w:pPr>
    <w:r w:rsidDel="00000000" w:rsidR="00000000" w:rsidRPr="00000000">
      <w:rPr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932400</wp:posOffset>
          </wp:positionH>
          <wp:positionV relativeFrom="page">
            <wp:posOffset>259421</wp:posOffset>
          </wp:positionV>
          <wp:extent cx="2072737" cy="3579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938" t="-8521"/>
                  <a:stretch>
                    <a:fillRect/>
                  </a:stretch>
                </pic:blipFill>
                <pic:spPr>
                  <a:xfrm>
                    <a:off x="0" y="0"/>
                    <a:ext cx="2072737" cy="3579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br w:type="textWrapping"/>
      <w:t xml:space="preserve">                                      </w:t>
    </w:r>
    <w:r w:rsidDel="00000000" w:rsidR="00000000" w:rsidRPr="00000000">
      <w:rPr>
        <w:sz w:val="18"/>
        <w:szCs w:val="18"/>
        <w:rtl w:val="0"/>
      </w:rPr>
      <w:t xml:space="preserve">Portal de Transparencia de FOMENTAS</w:t>
      <w:br w:type="textWrapping"/>
    </w:r>
  </w:p>
  <w:p w:rsidR="00000000" w:rsidDel="00000000" w:rsidP="00000000" w:rsidRDefault="00000000" w:rsidRPr="00000000" w14:paraId="00000007">
    <w:pPr>
      <w:pageBreakBefore w:val="0"/>
      <w:spacing w:line="240" w:lineRule="auto"/>
      <w:jc w:val="right"/>
      <w:rPr>
        <w:color w:val="999999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color w:val="999999"/>
        <w:rtl w:val="0"/>
      </w:rPr>
      <w:br w:type="textWrapping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"/>
      </w:rPr>
    </w:rPrDefault>
    <w:pPrDefault>
      <w:pPr>
        <w:spacing w:before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Montserrat Medium" w:cs="Montserrat Medium" w:eastAsia="Montserrat Medium" w:hAnsi="Montserrat Medium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Montserrat Medium" w:cs="Montserrat Medium" w:eastAsia="Montserrat Medium" w:hAnsi="Montserrat Medium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contrataciondelestado.es/wps/portal/!ut/p/b0/04_Sj9CPykssy0xPLMnMz0vMAfIjU1JTC3Iy87KtClKL0jJznPPzSooSSxLzSlL1w_Wj9KMyU5wK9CNz_KMijQLNvX3CHQO9jUJc0yLcK7UdbW31C3JzHQHWnbzy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