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4.2 - Contratos Programados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0"/>
        <w:gridCol w:w="4890"/>
        <w:tblGridChange w:id="0">
          <w:tblGrid>
            <w:gridCol w:w="4080"/>
            <w:gridCol w:w="489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274e13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0" w:line="276" w:lineRule="auto"/>
              <w:jc w:val="center"/>
              <w:rPr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CONTRATOS PROGRAMADOS AÑO 2023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before="0" w:line="276" w:lineRule="auto"/>
              <w:jc w:val="center"/>
              <w:rPr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ENCARGO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3876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before="0" w:line="276" w:lineRule="auto"/>
              <w:jc w:val="center"/>
              <w:rPr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ffffff"/>
                <w:sz w:val="17"/>
                <w:szCs w:val="17"/>
                <w:rtl w:val="0"/>
              </w:rPr>
              <w:t xml:space="preserve">OBJETO DEL CONTRATO PROGRAMADO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PARKING ARNAO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EJECUCIÓN DEL PROYECTO "APARCAMIENTO MODULAR ARNAO"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ARRU JINÁMAR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ASFALTO C/ FERNANDO SAGASETA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ARRU JINAMAR 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EJECUCIÓN DE LA REHABILITACIÓN DE 372 VIVIENDAS EN EL VALLE DE JINAMAR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ARRU LAS LONGUERAS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EJECUCIÓN DE LA REHABILITACIÓN DE 496 VIVIENDAS EN SAN JOSÉ DE LAS LONGUERAS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MANTENIMIENTO Y CONSERVACIÓN DE LAS VÍAS DE TELDE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MANTENIMIENTO Y CONSERVACIÓN DE LA RED VIARIA, SEÑALIZACIÓN VERTICAL Y HORIZONTAL DEL MUNICIPIO DE TELDE.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2º FASE MELENARA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SEGUNDA FASE PARA LA OBRA EN EJECUCIÓN DENOMINADA "ADECUACIÓN DE LA AVENIDA DE MELENARA Y MEJORA DE LA ACCESIBILIDAD A LA PLAYA"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MOVILIDAD SOSTENIBLE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before="0" w:line="276" w:lineRule="auto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ELABORACION E IMPLEMENTACION DE UN PLAN DE MOVILIDAD SOSTENIBLE(PMUS) EN EL MUNICIPIO DE TELDE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17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