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3.1.1 - Cuentas anuales que deban rendirse por la entidad (balance, cuenta de resultados económico-patrimonial o cuenta de pérdidas y ganancias, memoria y, en su caso liquidación del presupuesto)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76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76" w:lineRule="auto"/>
        <w:rPr>
          <w:b w:val="1"/>
          <w:sz w:val="17"/>
          <w:szCs w:val="17"/>
        </w:rPr>
      </w:pPr>
      <w:hyperlink r:id="rId6">
        <w:r w:rsidDel="00000000" w:rsidR="00000000" w:rsidRPr="00000000">
          <w:rPr>
            <w:b w:val="1"/>
            <w:color w:val="1155cc"/>
            <w:sz w:val="17"/>
            <w:szCs w:val="17"/>
            <w:u w:val="single"/>
            <w:rtl w:val="0"/>
          </w:rPr>
          <w:t xml:space="preserve">&gt; DESCARGAR EN PDF LAS CUENTAS ANUALES DEL 2022 DE FOMENTAS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07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fomentas.com/wp-content/uploads/2023/10/Cuentas-Anuales-2022-Fomentas.pd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