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1.1.8 – Perfil y trayectoria profesional de los/as responsables de los diferentes órganos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76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COMPOSICIÓN ÓRGANO DE GOBIERNO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M.I. El Ayuntamiento Pleno, en sus funciones de Junta General, es el Órgano Supremo de la Sociedad, acomodándose en su funcionamiento en cuanto al procedimiento y la adopción de acuerdos a las disposiciones administrativas por las cuales se rige la Corporación.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Están reservadas de forma específica a la Junta General, que será asistida por el Secretario/a e Interventor/ora, dentro de sus respectivas esferas de competencias, las siguientes funciones: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Nombrar al Consejo de Administración.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Modificar los presentes Estatutos.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Nombrar Gerente y fijar condiciones del mismo.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Aprobar el Inventario y Balance Anual, así como la Cuenta de Pérdidas y Ganancias, y todas las demás que la Ley de Sociedades de Responsabilidad Limitada atribuya a la Junta General.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COMPOSICIÓN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JUAN ANTONIO PEÑA MEDINA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PRIMER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SERGIO RAMOS ACOSTA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SEGUNDO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JUAN FRANCISCO ARTILES CARREÑO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CUARTO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Dª. CARMEN CECILIA BATISTA HERNÁNDEZ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QUINTO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Dª. MARIA INMACULADA GONZÁLEZ CALDERÍN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SEXTO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JUAN FRANCISCO MARTEL SANTANA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SÉPTIMO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Dª. MARÍA DESIREE HERNÁNDEZ MARTÍN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OCTAVO TENIENTE DE ALCALDE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MIGUEL ÁNGEL RODRÍGUEZ MARCHENA</w:t>
            </w:r>
          </w:p>
        </w:tc>
      </w:tr>
    </w:tbl>
    <w:p w:rsidR="00000000" w:rsidDel="00000000" w:rsidP="00000000" w:rsidRDefault="00000000" w:rsidRPr="00000000" w14:paraId="0000001E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0" w:line="360" w:lineRule="auto"/>
        <w:ind w:left="5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CONCEJALES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JUAN FRANCISCO JIMENEZ MORENO</w:t>
      </w:r>
    </w:p>
    <w:p w:rsidR="00000000" w:rsidDel="00000000" w:rsidP="00000000" w:rsidRDefault="00000000" w:rsidRPr="00000000" w14:paraId="00000022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Dª. NAYRA NAVARRO RUANO</w:t>
      </w:r>
    </w:p>
    <w:p w:rsidR="00000000" w:rsidDel="00000000" w:rsidP="00000000" w:rsidRDefault="00000000" w:rsidRPr="00000000" w14:paraId="00000023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CRISTHIAN SANTIAGO SANTANA CABALLERO</w:t>
      </w:r>
    </w:p>
    <w:p w:rsidR="00000000" w:rsidDel="00000000" w:rsidP="00000000" w:rsidRDefault="00000000" w:rsidRPr="00000000" w14:paraId="00000024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IVÁN SÁNCHEZ ESTÉVEZ</w:t>
      </w:r>
    </w:p>
    <w:p w:rsidR="00000000" w:rsidDel="00000000" w:rsidP="00000000" w:rsidRDefault="00000000" w:rsidRPr="00000000" w14:paraId="00000025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Dª. ADELA DE LOS ÁNGELES ÁLVAREZ HERNÁNDEZ</w:t>
      </w:r>
    </w:p>
    <w:p w:rsidR="00000000" w:rsidDel="00000000" w:rsidP="00000000" w:rsidRDefault="00000000" w:rsidRPr="00000000" w14:paraId="00000026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Dª. MARÍA DEL PILAR MESA GONZÁLEZ</w:t>
      </w:r>
    </w:p>
    <w:p w:rsidR="00000000" w:rsidDel="00000000" w:rsidP="00000000" w:rsidRDefault="00000000" w:rsidRPr="00000000" w14:paraId="00000027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JUAN PABLO RODRÍGUEZ MARTÍN</w:t>
      </w:r>
    </w:p>
    <w:p w:rsidR="00000000" w:rsidDel="00000000" w:rsidP="00000000" w:rsidRDefault="00000000" w:rsidRPr="00000000" w14:paraId="00000028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HECTOR JOSÉ SUÁREZ MORALES</w:t>
      </w:r>
    </w:p>
    <w:p w:rsidR="00000000" w:rsidDel="00000000" w:rsidP="00000000" w:rsidRDefault="00000000" w:rsidRPr="00000000" w14:paraId="00000029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ALEJANDRO RAMOS GUERRA</w:t>
      </w:r>
    </w:p>
    <w:p w:rsidR="00000000" w:rsidDel="00000000" w:rsidP="00000000" w:rsidRDefault="00000000" w:rsidRPr="00000000" w14:paraId="0000002A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HECTOR LEON JIMENEZ</w:t>
      </w:r>
    </w:p>
    <w:p w:rsidR="00000000" w:rsidDel="00000000" w:rsidP="00000000" w:rsidRDefault="00000000" w:rsidRPr="00000000" w14:paraId="0000002B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 INES PULIDO GARCÍA</w:t>
      </w:r>
    </w:p>
    <w:p w:rsidR="00000000" w:rsidDel="00000000" w:rsidP="00000000" w:rsidRDefault="00000000" w:rsidRPr="00000000" w14:paraId="0000002C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 PINO MARÍA RAMÍREZ SANTANA</w:t>
      </w:r>
    </w:p>
    <w:p w:rsidR="00000000" w:rsidDel="00000000" w:rsidP="00000000" w:rsidRDefault="00000000" w:rsidRPr="00000000" w14:paraId="0000002D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JUAN MARRERO GUTIERREZ</w:t>
      </w:r>
    </w:p>
    <w:p w:rsidR="00000000" w:rsidDel="00000000" w:rsidP="00000000" w:rsidRDefault="00000000" w:rsidRPr="00000000" w14:paraId="0000002E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 MINERVA CARMEN ALONSO SANTANA</w:t>
      </w:r>
    </w:p>
    <w:p w:rsidR="00000000" w:rsidDel="00000000" w:rsidP="00000000" w:rsidRDefault="00000000" w:rsidRPr="00000000" w14:paraId="0000002F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 MARÍA CELESTE LÓPEZ MEDINA</w:t>
      </w:r>
    </w:p>
    <w:p w:rsidR="00000000" w:rsidDel="00000000" w:rsidP="00000000" w:rsidRDefault="00000000" w:rsidRPr="00000000" w14:paraId="00000030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SEBASTIAN SERVANDO GONZÁLEZ ROBAINA</w:t>
      </w:r>
    </w:p>
    <w:p w:rsidR="00000000" w:rsidDel="00000000" w:rsidP="00000000" w:rsidRDefault="00000000" w:rsidRPr="00000000" w14:paraId="00000031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D. ALVARO JUAN MONZÓN SANTANA</w:t>
      </w:r>
    </w:p>
    <w:p w:rsidR="00000000" w:rsidDel="00000000" w:rsidP="00000000" w:rsidRDefault="00000000" w:rsidRPr="00000000" w14:paraId="00000032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 RITA ESMERALDA CABRERA SÁNCHEZ</w:t>
      </w:r>
    </w:p>
    <w:p w:rsidR="00000000" w:rsidDel="00000000" w:rsidP="00000000" w:rsidRDefault="00000000" w:rsidRPr="00000000" w14:paraId="00000033">
      <w:pPr>
        <w:spacing w:after="160" w:before="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Dª JANOA ANCEAUME DELGADO</w:t>
      </w:r>
    </w:p>
    <w:p w:rsidR="00000000" w:rsidDel="00000000" w:rsidP="00000000" w:rsidRDefault="00000000" w:rsidRPr="00000000" w14:paraId="00000034">
      <w:pPr>
        <w:spacing w:after="160" w:before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CONSEJO DE ADMINISTRACIÓN:</w:t>
      </w:r>
    </w:p>
    <w:p w:rsidR="00000000" w:rsidDel="00000000" w:rsidP="00000000" w:rsidRDefault="00000000" w:rsidRPr="00000000" w14:paraId="00000035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La Administración de la Sociedad y la explotación de los Servicios estará atribuida al Consejo de Administración, integrado por el número de miembros que oscila entre tres como mínimo y doce como máximo, incluido el Presidente/a y designados por la Junta General.</w:t>
      </w:r>
    </w:p>
    <w:p w:rsidR="00000000" w:rsidDel="00000000" w:rsidP="00000000" w:rsidRDefault="00000000" w:rsidRPr="00000000" w14:paraId="00000036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Al Consejo de Administración le corresponderá las siguientes funciones: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El Gobierno y Gestión Superior de la Empresa.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Adoptar cuantas determinaciones estime oportunas para la dirección y explotación del servicio que se le encomiende.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Designar entre sus miembros al Consejero/s Delegado/s.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Proponer a la Junta General la persona que debe ocupar el puesto de Gerente, así como su cese.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Aprobar las líneas generales de Política Comercial de la Empresa.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Aprobar los presupuestos, cuentas y programas de actuación de la Empresa.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Acordar sobre ejercicio y desistimiento de acciones y cuantas materias no estén expresamente reservadas a la Junta General, al Presidente o al Gerente.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Formular la memoria, el inventario, balance anual, cuenta de pérdidas y ganancias y la propuesta de aplicación de beneficios en su caso.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Señalar las normas complementarias para la actuación del Consejero/s Delegados/s y el Gerente.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Está facultado para transigir y desistir de las actuaciones que sean ejercidas por el Presidente.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Conferir poderes o cualquiera de sus miembros, al Gerente, a particulares o Letrados y Procuradores, transmitiendo todas o partes de sus funciones.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Aprobar los reglamentos de servicios y de régimen interior que puedan ser necesarios a propuesta del Gerente o Consejero/s Delegado/s.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Llevar a la práctica los acuerdos de la Junta General por si o a través del Consejero/s Delegado/s.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Resolver expedientes de desahucio administrativo por infracciones al régimen legal de ocupación designando Instructor y decretar lanzamientos previo procedimiento, con la facultad de delegar la firma.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Informar dentro del primer semestre de cada año, la memoria del ejercicio anterior que deberá contener un resumen de las actuaciones de la Empresa en dicho ejercicio y detalle de las cuentas e inventarios, para someterlo a la Junta General.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Resolver toda clase de cuestiones cuya competencia no esté atribuida por los Estatutos a otros organismos.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40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Ejercer todas las atribuciones que se desprenden de los Estatutos y de los acuerdos que adopte la Junta General, así como atender en todo aquello que afecte a la marcha de la Sociedad cuya administración se le encomiende.</w:t>
      </w:r>
    </w:p>
    <w:p w:rsidR="00000000" w:rsidDel="00000000" w:rsidP="00000000" w:rsidRDefault="00000000" w:rsidRPr="00000000" w14:paraId="00000048">
      <w:pPr>
        <w:spacing w:after="160" w:before="0" w:line="360" w:lineRule="auto"/>
        <w:ind w:left="2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Miembros del Consejo de Administración</w:t>
      </w:r>
    </w:p>
    <w:p w:rsidR="00000000" w:rsidDel="00000000" w:rsidP="00000000" w:rsidRDefault="00000000" w:rsidRPr="00000000" w14:paraId="00000049">
      <w:pPr>
        <w:spacing w:after="160" w:before="0" w:line="360" w:lineRule="auto"/>
        <w:ind w:left="260" w:firstLine="0"/>
        <w:rPr>
          <w:u w:val="single"/>
        </w:rPr>
      </w:pPr>
      <w:commentRangeStart w:id="0"/>
      <w:r w:rsidDel="00000000" w:rsidR="00000000" w:rsidRPr="00000000">
        <w:rPr>
          <w:u w:val="single"/>
          <w:rtl w:val="0"/>
        </w:rPr>
        <w:t xml:space="preserve">Presidente</w:t>
      </w:r>
    </w:p>
    <w:p w:rsidR="00000000" w:rsidDel="00000000" w:rsidP="00000000" w:rsidRDefault="00000000" w:rsidRPr="00000000" w14:paraId="0000004A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Juan Antonio Peña Medina</w:t>
      </w:r>
    </w:p>
    <w:p w:rsidR="00000000" w:rsidDel="00000000" w:rsidP="00000000" w:rsidRDefault="00000000" w:rsidRPr="00000000" w14:paraId="0000004B">
      <w:pPr>
        <w:spacing w:after="160" w:before="0" w:line="360" w:lineRule="auto"/>
        <w:ind w:left="2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Vicepresidente y Consejero Delegado</w:t>
      </w:r>
    </w:p>
    <w:p w:rsidR="00000000" w:rsidDel="00000000" w:rsidP="00000000" w:rsidRDefault="00000000" w:rsidRPr="00000000" w14:paraId="0000004C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Sergio Ramos Acosta</w:t>
      </w:r>
    </w:p>
    <w:p w:rsidR="00000000" w:rsidDel="00000000" w:rsidP="00000000" w:rsidRDefault="00000000" w:rsidRPr="00000000" w14:paraId="0000004D">
      <w:pPr>
        <w:spacing w:after="160" w:before="0" w:line="360" w:lineRule="auto"/>
        <w:ind w:left="2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Secretaría del Consejo de Administración </w:t>
      </w:r>
    </w:p>
    <w:p w:rsidR="00000000" w:rsidDel="00000000" w:rsidP="00000000" w:rsidRDefault="00000000" w:rsidRPr="00000000" w14:paraId="0000004E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Dª. María Inmaculada González Calderín</w:t>
      </w:r>
    </w:p>
    <w:p w:rsidR="00000000" w:rsidDel="00000000" w:rsidP="00000000" w:rsidRDefault="00000000" w:rsidRPr="00000000" w14:paraId="0000004F">
      <w:pPr>
        <w:spacing w:after="160" w:before="0" w:line="360" w:lineRule="auto"/>
        <w:ind w:left="2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Vocales del Consejo de Administración</w:t>
      </w:r>
    </w:p>
    <w:p w:rsidR="00000000" w:rsidDel="00000000" w:rsidP="00000000" w:rsidRDefault="00000000" w:rsidRPr="00000000" w14:paraId="00000050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Sergio Ramos Acosta</w:t>
      </w:r>
    </w:p>
    <w:p w:rsidR="00000000" w:rsidDel="00000000" w:rsidP="00000000" w:rsidRDefault="00000000" w:rsidRPr="00000000" w14:paraId="00000051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Dª. María Inmaculada González Calderín</w:t>
      </w:r>
    </w:p>
    <w:p w:rsidR="00000000" w:rsidDel="00000000" w:rsidP="00000000" w:rsidRDefault="00000000" w:rsidRPr="00000000" w14:paraId="00000052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Dª. Carmen Cecilia Batista Hernández</w:t>
      </w:r>
    </w:p>
    <w:p w:rsidR="00000000" w:rsidDel="00000000" w:rsidP="00000000" w:rsidRDefault="00000000" w:rsidRPr="00000000" w14:paraId="00000053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Dª. María Desirée Hernández Martín</w:t>
      </w:r>
    </w:p>
    <w:p w:rsidR="00000000" w:rsidDel="00000000" w:rsidP="00000000" w:rsidRDefault="00000000" w:rsidRPr="00000000" w14:paraId="00000054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Juan Francisco Martel Santana</w:t>
      </w:r>
    </w:p>
    <w:p w:rsidR="00000000" w:rsidDel="00000000" w:rsidP="00000000" w:rsidRDefault="00000000" w:rsidRPr="00000000" w14:paraId="00000055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Juan Francisco Artiles Carreño</w:t>
      </w:r>
    </w:p>
    <w:p w:rsidR="00000000" w:rsidDel="00000000" w:rsidP="00000000" w:rsidRDefault="00000000" w:rsidRPr="00000000" w14:paraId="00000056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Alejandro Ramos Guerra</w:t>
      </w:r>
    </w:p>
    <w:p w:rsidR="00000000" w:rsidDel="00000000" w:rsidP="00000000" w:rsidRDefault="00000000" w:rsidRPr="00000000" w14:paraId="00000057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Juan Ignacio Marrero Gutiérrez</w:t>
      </w:r>
    </w:p>
    <w:p w:rsidR="00000000" w:rsidDel="00000000" w:rsidP="00000000" w:rsidRDefault="00000000" w:rsidRPr="00000000" w14:paraId="00000058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Sebastián Servando González Robaina</w:t>
      </w:r>
    </w:p>
    <w:p w:rsidR="00000000" w:rsidDel="00000000" w:rsidP="00000000" w:rsidRDefault="00000000" w:rsidRPr="00000000" w14:paraId="00000059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D. Sergio Manuel Suárez Hernández</w:t>
      </w:r>
    </w:p>
    <w:p w:rsidR="00000000" w:rsidDel="00000000" w:rsidP="00000000" w:rsidRDefault="00000000" w:rsidRPr="00000000" w14:paraId="0000005A">
      <w:pPr>
        <w:spacing w:after="160" w:before="0" w:line="360" w:lineRule="auto"/>
        <w:ind w:left="260" w:firstLine="260"/>
        <w:rPr>
          <w:color w:val="0b5ab2"/>
        </w:rPr>
      </w:pPr>
      <w:r w:rsidDel="00000000" w:rsidR="00000000" w:rsidRPr="00000000">
        <w:rPr>
          <w:color w:val="0b5ab2"/>
          <w:rtl w:val="0"/>
        </w:rPr>
        <w:t xml:space="preserve">Dª Rita Esmeralda Cabrera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before="0" w:line="360" w:lineRule="auto"/>
        <w:rPr>
          <w:b w:val="1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before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CONSEJERO DELEGADO</w:t>
      </w:r>
    </w:p>
    <w:p w:rsidR="00000000" w:rsidDel="00000000" w:rsidP="00000000" w:rsidRDefault="00000000" w:rsidRPr="00000000" w14:paraId="0000005D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Dentro de la empresa se podrá nombrar uno o varios Consejeros/as Delegados/as. Estos serán designados por el Consejo de Administración de entre sus vocales.</w:t>
      </w:r>
    </w:p>
    <w:p w:rsidR="00000000" w:rsidDel="00000000" w:rsidP="00000000" w:rsidRDefault="00000000" w:rsidRPr="00000000" w14:paraId="0000005E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Sus facultades serán aquellas que el Consejo atribuya expresamente, ya sea de sus funciones propias o de las funciones que correspondan al Presidente.</w:t>
      </w:r>
    </w:p>
    <w:p w:rsidR="00000000" w:rsidDel="00000000" w:rsidP="00000000" w:rsidRDefault="00000000" w:rsidRPr="00000000" w14:paraId="0000005F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Las facultades del Presidente: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Convocar los Consejos de Administración.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Señalar el orden de los asuntos que han de tratarse en cada reunión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Presidir y dirigir las deliberaciones y votaciones decidiendo los empates con su voto de calidad.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Firmar los contratos aprobados por el Consejo.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Actuar en nombre del Consejo llevando su representación en toda clase de pleitos y procedimientos y en los recursos judiciales y administrativos y otorgar los poderes necesarios en estos fines.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Preparar en unión del Gerente, Secretario e Interventor, y además de cuantos asesores estime convenientes, las propuestas, memorias, cuentas e inventarios que hayan de ser aprobados por el Consejo.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Establecer los criterios que hayan de regir la Política de personal de la empresa.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Autorizar toda clase de contratos, adquisiciones y suministros, fijando las condiciones generales que habrán de regir las contrataciones.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Concertar con cualquier entidad u organismo estatal, paraestatal o particular, los empréstitos, operaciones de préstamos, créditos etc., que puedan ser necesarios para el desarrollo del servicio que se le encomienda a la Sociedad.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Acordar la apertura o cancelación de las cuentas corrientes generales en cualquier entidad bancaria incluidas cajas de ahorros y cajas rurales, señalando los requisitos para la apertura de tales cuentas así como para las disposiciones de fondos.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Celebrar toda clase de contratos utilizando cualquier medio para la determinación del contratista, tales como concursos o subastas, adjudicaciones directas, incluso las de enajenación de bienes muebles e inmuebles, que sólo precisarán autorización del M.I Ayuntamiento de Telde cuando no sea para cumplir los fines de la Empresa.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Requerir los asesoramientos técnicos que sean necesarios en cada ocasión para la mejor marcha de la Sociedad, con arreglo a los preceptos legales en vigor.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Otorgar y formalizar con las cláusulas y requisitos que estime oportunos, las escrituras y documentos que sean necesarios para la consecución del fin social.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Ordenar la ejecución de los acuerdos del Consejo.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40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Designar y nombrar al Secretario del Consejo de Administración.</w:t>
      </w:r>
    </w:p>
    <w:p w:rsidR="00000000" w:rsidDel="00000000" w:rsidP="00000000" w:rsidRDefault="00000000" w:rsidRPr="00000000" w14:paraId="0000006F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160" w:before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GERENTE</w:t>
      </w:r>
    </w:p>
    <w:p w:rsidR="00000000" w:rsidDel="00000000" w:rsidP="00000000" w:rsidRDefault="00000000" w:rsidRPr="00000000" w14:paraId="00000071">
      <w:pPr>
        <w:spacing w:after="160" w:before="0" w:line="360" w:lineRule="auto"/>
        <w:rPr/>
      </w:pPr>
      <w:r w:rsidDel="00000000" w:rsidR="00000000" w:rsidRPr="00000000">
        <w:rPr>
          <w:rtl w:val="0"/>
        </w:rPr>
        <w:t xml:space="preserve">Con independencia de las facultades que en cada caso de forma genérica le confiere el Consejo de Administración, el Gerente tendrá de derecho y como propias las siguientes facultades: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La ejecución de los acuerdos del Consejo, en su caso de Consejero/a Delegado/a.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La fiscalización de las actividades de la Sociedad.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La jefatura directa o inmediata de todo el personal al servicio de la sociedad.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Organizar, dirigir, vigilar los servicios y distribuir el trabajo, con plenas facultades para recomendarle a cada empleado las funciones que considere conveniente, en cada caso de acuerdo con su situación laboral.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Adoptar determinaciones necesarias para el mejor funcionamiento de los servicios, cuya competencia no se reserva al Consejo.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Formular con los servicios técnicos a sus órdenes todos los proyectos y velar porque se cumplan todas las normas de construcción, y a que se realicen con elementos propios o ajenos a la sociedad.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Informar al Consejo acerca de los asuntos de que se trate en cada ocasión.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40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Llevar la firma de la correspondencia, recibos, talones, transferencias, facturas y en general cuantos documentos sean necesarios para el desarrollo de su contenido.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sora Macías Rodriguez" w:id="0" w:date="2023-10-15T07:15:14Z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@bhenriquez@inventiaplus.com / idem que el punto 1.1.5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7C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